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w:t>
      </w:r>
      <w:r w:rsidR="00A55142">
        <w:rPr>
          <w:rFonts w:ascii="ＭＳ 明朝" w:hAnsi="ＭＳ 明朝" w:hint="eastAsia"/>
          <w:b/>
          <w:sz w:val="24"/>
          <w:szCs w:val="22"/>
        </w:rPr>
        <w:t>1</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r>
        <w:rPr>
          <w:rFonts w:hint="eastAsia"/>
        </w:rPr>
        <w:t>応募資格・条件</w:t>
      </w:r>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330417">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w:t>
      </w:r>
      <w:r>
        <w:rPr>
          <w:rFonts w:hint="eastAsia"/>
        </w:rPr>
        <w:lastRenderedPageBreak/>
        <w:t>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t>6</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w:t>
            </w:r>
            <w:r>
              <w:rPr>
                <w:rFonts w:hint="eastAsia"/>
              </w:rPr>
              <w:t>HP</w:t>
            </w:r>
            <w:r>
              <w:rPr>
                <w:rFonts w:hint="eastAsia"/>
              </w:rPr>
              <w:t xml:space="preserve">　大学・研究機関</w:t>
            </w:r>
            <w:r>
              <w:rPr>
                <w:rFonts w:hint="eastAsia"/>
              </w:rPr>
              <w:t xml:space="preserve"> </w:t>
            </w:r>
          </w:p>
          <w:p w:rsidR="00C51558" w:rsidRDefault="00E0715C" w:rsidP="00F41C13">
            <w:pPr>
              <w:ind w:firstLineChars="400" w:firstLine="840"/>
            </w:pPr>
            <w:hyperlink r:id="rId10" w:history="1">
              <w:r w:rsidR="00C51558" w:rsidRPr="000E35E9">
                <w:rPr>
                  <w:rStyle w:val="aa"/>
                </w:rPr>
                <w:t>http://www.meti.go.jp/policy/anpo/daigaku.html</w:t>
              </w:r>
            </w:hyperlink>
          </w:p>
          <w:p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（学内専用）</w:t>
            </w:r>
            <w:r w:rsidR="00810532">
              <w:rPr>
                <w:rFonts w:hint="eastAsia"/>
              </w:rPr>
              <w:t xml:space="preserve">　</w:t>
            </w:r>
          </w:p>
          <w:p w:rsidR="005E3989" w:rsidRPr="005E3989" w:rsidRDefault="00E0715C" w:rsidP="00F41C13">
            <w:pPr>
              <w:ind w:firstLineChars="400" w:firstLine="840"/>
            </w:pPr>
            <w:hyperlink r:id="rId11" w:history="1">
              <w:r w:rsidR="001B1E10" w:rsidRPr="00FC5285">
                <w:rPr>
                  <w:rStyle w:val="aa"/>
                </w:rPr>
                <w:t>https://ku1.cybozu.com/g/cabinet/index.csp?hid=3319&amp;sf=0&amp;sp=0</w:t>
              </w:r>
            </w:hyperlink>
            <w:hyperlink w:history="1"/>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w:t>
      </w:r>
      <w:r w:rsidR="00A55142">
        <w:rPr>
          <w:rFonts w:hint="eastAsia"/>
          <w:b/>
          <w:u w:val="single"/>
        </w:rPr>
        <w:t>20</w:t>
      </w:r>
      <w:r w:rsidRPr="0083551A">
        <w:rPr>
          <w:rFonts w:hint="eastAsia"/>
          <w:b/>
          <w:u w:val="single"/>
        </w:rPr>
        <w:t>年</w:t>
      </w:r>
      <w:r w:rsidRPr="0083551A">
        <w:rPr>
          <w:b/>
          <w:u w:val="single"/>
        </w:rPr>
        <w:t>12</w:t>
      </w:r>
      <w:r w:rsidRPr="0083551A">
        <w:rPr>
          <w:rFonts w:hint="eastAsia"/>
          <w:b/>
          <w:u w:val="single"/>
        </w:rPr>
        <w:t>月</w:t>
      </w:r>
      <w:r w:rsidR="007C3892">
        <w:rPr>
          <w:rFonts w:hint="eastAsia"/>
          <w:b/>
          <w:u w:val="single"/>
        </w:rPr>
        <w:t>1</w:t>
      </w:r>
      <w:r w:rsidR="00A55142">
        <w:rPr>
          <w:rFonts w:hint="eastAsia"/>
          <w:b/>
          <w:u w:val="single"/>
        </w:rPr>
        <w:t>7</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1667D" w:rsidRDefault="0081667D" w:rsidP="007E7618">
      <w:pPr>
        <w:pStyle w:val="1"/>
        <w:numPr>
          <w:ilvl w:val="0"/>
          <w:numId w:val="53"/>
        </w:numPr>
      </w:pPr>
      <w:bookmarkStart w:id="0" w:name="_Ref359243093"/>
      <w:r>
        <w:rPr>
          <w:rFonts w:hint="eastAsia"/>
        </w:rPr>
        <w:lastRenderedPageBreak/>
        <w:t>採択後の</w:t>
      </w:r>
      <w:r>
        <w:rPr>
          <w:rFonts w:hint="eastAsia"/>
          <w:lang w:eastAsia="ja-JP"/>
        </w:rPr>
        <w:t>手続き</w:t>
      </w:r>
      <w:r>
        <w:rPr>
          <w:rFonts w:hint="eastAsia"/>
        </w:rPr>
        <w:t>：</w:t>
      </w:r>
      <w:bookmarkEnd w:id="0"/>
    </w:p>
    <w:p w:rsidR="009563A3" w:rsidRPr="00E77FD1" w:rsidRDefault="00E77FD1" w:rsidP="00192E8E">
      <w:pPr>
        <w:pStyle w:val="2"/>
        <w:numPr>
          <w:ilvl w:val="1"/>
          <w:numId w:val="53"/>
        </w:numPr>
      </w:pPr>
      <w:r>
        <w:rPr>
          <w:rFonts w:hint="eastAsia"/>
        </w:rPr>
        <w:t>エントリコースの申請</w:t>
      </w:r>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r w:rsidR="00E77FD1">
        <w:rPr>
          <w:rFonts w:hint="eastAsia"/>
        </w:rPr>
        <w:t>の申請</w:t>
      </w:r>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r>
        <w:rPr>
          <w:rFonts w:hint="eastAsia"/>
        </w:rPr>
        <w:t>申請書類の取得：</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E1672B" w:rsidP="00C245ED">
      <w:pPr>
        <w:ind w:firstLineChars="100" w:firstLine="210"/>
        <w:rPr>
          <w:rFonts w:asciiTheme="minorHAnsi" w:hAnsiTheme="minorHAnsi"/>
          <w:color w:val="FF0000"/>
          <w:u w:val="single"/>
        </w:rPr>
      </w:pPr>
      <w:hyperlink r:id="rId13" w:history="1">
        <w:r w:rsidRPr="007D0424">
          <w:rPr>
            <w:rStyle w:val="aa"/>
            <w:rFonts w:asciiTheme="minorHAnsi" w:hAnsiTheme="minorHAnsi"/>
          </w:rPr>
          <w:t>http://www.iimc.kyoto-u.ac.jp/ja/services/comp/support/edu/edu_20</w:t>
        </w:r>
        <w:r w:rsidRPr="007D0424">
          <w:rPr>
            <w:rStyle w:val="aa"/>
            <w:rFonts w:asciiTheme="minorHAnsi" w:hAnsiTheme="minorHAnsi" w:hint="eastAsia"/>
          </w:rPr>
          <w:t>21</w:t>
        </w:r>
        <w:r w:rsidRPr="007D0424">
          <w:rPr>
            <w:rStyle w:val="aa"/>
            <w:rFonts w:asciiTheme="minorHAnsi" w:hAnsiTheme="minorHAnsi"/>
          </w:rPr>
          <w:t>.html</w:t>
        </w:r>
      </w:hyperlink>
    </w:p>
    <w:p w:rsidR="00F41D85" w:rsidRPr="00E1672B" w:rsidRDefault="00F41D85" w:rsidP="007E7618"/>
    <w:p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bookmarkStart w:id="2" w:name="_GoBack"/>
      <w:bookmarkEnd w:id="2"/>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w:t>
      </w:r>
      <w:r w:rsidR="00A55142">
        <w:rPr>
          <w:rFonts w:ascii="ＭＳ 明朝" w:hAnsi="ＭＳ 明朝" w:hint="eastAsia"/>
          <w:b/>
          <w:sz w:val="24"/>
        </w:rPr>
        <w:t>1</w:t>
      </w:r>
      <w:r w:rsidR="004F6BE0">
        <w:rPr>
          <w:rFonts w:ascii="ＭＳ 明朝" w:hAnsi="ＭＳ 明朝" w:hint="eastAsia"/>
          <w:b/>
          <w:sz w:val="24"/>
        </w:rPr>
        <w:t>年度)</w:t>
      </w:r>
      <w:r>
        <w:rPr>
          <w:rFonts w:ascii="ＭＳ 明朝" w:hAnsi="ＭＳ 明朝" w:hint="eastAsia"/>
          <w:b/>
          <w:sz w:val="24"/>
        </w:rPr>
        <w:t>申請書</w:t>
      </w:r>
    </w:p>
    <w:p w:rsidR="007A77C1" w:rsidRPr="007F0305"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rsidTr="00072CA3">
        <w:trPr>
          <w:gridBefore w:val="14"/>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gridSpan w:val="2"/>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rsidR="007A77C1" w:rsidRPr="00A51DEA" w:rsidRDefault="007A77C1" w:rsidP="002F451B"/>
        </w:tc>
        <w:tc>
          <w:tcPr>
            <w:tcW w:w="1387" w:type="dxa"/>
            <w:gridSpan w:val="8"/>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7"/>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6"/>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gridSpan w:val="2"/>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6"/>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gridSpan w:val="2"/>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3"/>
            <w:tcBorders>
              <w:top w:val="nil"/>
              <w:bottom w:val="single" w:sz="4" w:space="0" w:color="000000"/>
            </w:tcBorders>
            <w:vAlign w:val="center"/>
          </w:tcPr>
          <w:p w:rsidR="004A7E52" w:rsidRDefault="004A7E52" w:rsidP="002F451B"/>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3"/>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11"/>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gridSpan w:val="2"/>
            <w:tcBorders>
              <w:top w:val="nil"/>
              <w:left w:val="nil"/>
              <w:bottom w:val="single" w:sz="4" w:space="0" w:color="000000"/>
            </w:tcBorders>
            <w:vAlign w:val="center"/>
          </w:tcPr>
          <w:p w:rsidR="00F172A1" w:rsidRPr="00A51DEA" w:rsidRDefault="00F172A1" w:rsidP="002F451B">
            <w:r>
              <w:rPr>
                <w:rFonts w:hint="eastAsia"/>
              </w:rPr>
              <w:t>）</w:t>
            </w:r>
          </w:p>
        </w:tc>
      </w:tr>
      <w:tr w:rsidR="00B662A2" w:rsidRPr="007A77C1"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rsidR="00B662A2" w:rsidRPr="00A51DEA" w:rsidRDefault="00B662A2" w:rsidP="00C039BE">
            <w:pPr>
              <w:ind w:firstLineChars="100" w:firstLine="210"/>
            </w:pPr>
            <w:r>
              <w:rPr>
                <w:rFonts w:ascii="ＭＳ 明朝" w:hAnsi="ＭＳ 明朝" w:cs="ＭＳ 明朝" w:hint="eastAsia"/>
              </w:rPr>
              <w:t>□</w:t>
            </w:r>
          </w:p>
        </w:tc>
        <w:tc>
          <w:tcPr>
            <w:tcW w:w="7229" w:type="dxa"/>
            <w:gridSpan w:val="29"/>
            <w:tcBorders>
              <w:left w:val="nil"/>
              <w:bottom w:val="dotted" w:sz="4" w:space="0" w:color="000000"/>
            </w:tcBorders>
            <w:shd w:val="clear" w:color="auto" w:fill="auto"/>
            <w:vAlign w:val="center"/>
          </w:tcPr>
          <w:p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rsidR="007028E4" w:rsidRDefault="007028E4">
            <w:r>
              <w:rPr>
                <w:rFonts w:hint="eastAsia"/>
              </w:rPr>
              <w:t>その他　（</w:t>
            </w:r>
          </w:p>
        </w:tc>
        <w:tc>
          <w:tcPr>
            <w:tcW w:w="5528" w:type="dxa"/>
            <w:gridSpan w:val="24"/>
            <w:tcBorders>
              <w:top w:val="dotted" w:sz="4" w:space="0" w:color="000000"/>
              <w:left w:val="nil"/>
              <w:bottom w:val="nil"/>
              <w:right w:val="nil"/>
            </w:tcBorders>
            <w:shd w:val="clear" w:color="auto" w:fill="auto"/>
            <w:vAlign w:val="center"/>
          </w:tcPr>
          <w:p w:rsidR="007028E4" w:rsidRDefault="007028E4" w:rsidP="008305C6"/>
        </w:tc>
        <w:tc>
          <w:tcPr>
            <w:tcW w:w="425" w:type="dxa"/>
            <w:tcBorders>
              <w:top w:val="dotted" w:sz="4" w:space="0" w:color="000000"/>
              <w:left w:val="nil"/>
              <w:bottom w:val="nil"/>
            </w:tcBorders>
            <w:shd w:val="clear" w:color="auto" w:fill="auto"/>
            <w:vAlign w:val="center"/>
          </w:tcPr>
          <w:p w:rsidR="007028E4" w:rsidRDefault="007028E4" w:rsidP="008305C6">
            <w:r>
              <w:rPr>
                <w:rFonts w:hint="eastAsia"/>
              </w:rPr>
              <w:t>）</w:t>
            </w:r>
          </w:p>
        </w:tc>
      </w:tr>
      <w:tr w:rsidR="00B662A2" w:rsidRPr="00B662A2"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rsidR="00B662A2" w:rsidRPr="00A51DEA" w:rsidRDefault="00B662A2" w:rsidP="002F451B"/>
        </w:tc>
        <w:tc>
          <w:tcPr>
            <w:tcW w:w="8071" w:type="dxa"/>
            <w:gridSpan w:val="33"/>
            <w:tcBorders>
              <w:top w:val="nil"/>
              <w:bottom w:val="single" w:sz="4" w:space="0" w:color="000000"/>
            </w:tcBorders>
            <w:shd w:val="clear" w:color="auto" w:fill="auto"/>
            <w:vAlign w:val="center"/>
          </w:tcPr>
          <w:p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30"/>
            <w:tcBorders>
              <w:right w:val="nil"/>
            </w:tcBorders>
            <w:vAlign w:val="center"/>
          </w:tcPr>
          <w:p w:rsidR="00F172A1" w:rsidRPr="00A51DEA" w:rsidRDefault="00F172A1" w:rsidP="002F451B"/>
        </w:tc>
        <w:tc>
          <w:tcPr>
            <w:tcW w:w="768" w:type="dxa"/>
            <w:gridSpan w:val="3"/>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3"/>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3"/>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3"/>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Default="00CE6ED0" w:rsidP="002F451B">
            <w:r w:rsidRPr="00A51DEA">
              <w:rPr>
                <w:rFonts w:hint="eastAsia"/>
              </w:rPr>
              <w:t>（</w:t>
            </w:r>
          </w:p>
          <w:p w:rsidR="00330417" w:rsidRPr="00A51DEA" w:rsidRDefault="00330417" w:rsidP="002F451B"/>
        </w:tc>
        <w:tc>
          <w:tcPr>
            <w:tcW w:w="921" w:type="dxa"/>
            <w:gridSpan w:val="4"/>
            <w:tcBorders>
              <w:left w:val="nil"/>
              <w:bottom w:val="nil"/>
              <w:right w:val="nil"/>
            </w:tcBorders>
            <w:vAlign w:val="center"/>
          </w:tcPr>
          <w:p w:rsidR="00CE6ED0" w:rsidRPr="00A51DEA" w:rsidRDefault="00CE6ED0" w:rsidP="002F451B"/>
        </w:tc>
        <w:tc>
          <w:tcPr>
            <w:tcW w:w="6714" w:type="dxa"/>
            <w:gridSpan w:val="28"/>
            <w:tcBorders>
              <w:left w:val="nil"/>
              <w:bottom w:val="nil"/>
            </w:tcBorders>
            <w:vAlign w:val="center"/>
          </w:tcPr>
          <w:p w:rsidR="00330417"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p w:rsidR="00CE6ED0" w:rsidRPr="00A51DEA" w:rsidRDefault="00330417" w:rsidP="000B25A9">
            <w:pPr>
              <w:ind w:firstLineChars="100" w:firstLine="210"/>
            </w:pPr>
            <w:r w:rsidRPr="00330417">
              <w:rPr>
                <w:rFonts w:hint="eastAsia"/>
              </w:rPr>
              <w:t>（別途申請が必要）</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4"/>
            <w:tcBorders>
              <w:left w:val="nil"/>
              <w:bottom w:val="nil"/>
              <w:right w:val="nil"/>
            </w:tcBorders>
            <w:vAlign w:val="center"/>
          </w:tcPr>
          <w:p w:rsidR="00CE6ED0" w:rsidRPr="00A51DEA" w:rsidRDefault="00CE6ED0" w:rsidP="002F451B"/>
        </w:tc>
        <w:tc>
          <w:tcPr>
            <w:tcW w:w="6714" w:type="dxa"/>
            <w:gridSpan w:val="28"/>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4"/>
            <w:tcBorders>
              <w:top w:val="nil"/>
              <w:left w:val="nil"/>
              <w:bottom w:val="nil"/>
              <w:right w:val="nil"/>
            </w:tcBorders>
            <w:vAlign w:val="center"/>
          </w:tcPr>
          <w:p w:rsidR="00CE6ED0" w:rsidRPr="00A51DEA" w:rsidRDefault="00CE6ED0" w:rsidP="002F451B"/>
        </w:tc>
        <w:tc>
          <w:tcPr>
            <w:tcW w:w="1801" w:type="dxa"/>
            <w:gridSpan w:val="10"/>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r w:rsidR="00A55142">
              <w:rPr>
                <w:rFonts w:hint="eastAsia"/>
              </w:rPr>
              <w:t xml:space="preserve">　：</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gridSpan w:val="2"/>
            <w:tcBorders>
              <w:top w:val="nil"/>
              <w:left w:val="nil"/>
              <w:bottom w:val="nil"/>
            </w:tcBorders>
            <w:vAlign w:val="center"/>
          </w:tcPr>
          <w:p w:rsidR="00CE6ED0" w:rsidRPr="00A51DEA" w:rsidRDefault="00CE6ED0"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4"/>
            <w:tcBorders>
              <w:top w:val="nil"/>
              <w:left w:val="nil"/>
              <w:bottom w:val="single" w:sz="4" w:space="0" w:color="000000"/>
              <w:right w:val="nil"/>
            </w:tcBorders>
            <w:vAlign w:val="center"/>
          </w:tcPr>
          <w:p w:rsidR="00CE6ED0" w:rsidRPr="00A51DEA" w:rsidRDefault="00CE6ED0" w:rsidP="002F451B"/>
        </w:tc>
        <w:tc>
          <w:tcPr>
            <w:tcW w:w="3055" w:type="dxa"/>
            <w:gridSpan w:val="15"/>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r w:rsidR="00A55142">
              <w:rPr>
                <w:rFonts w:hint="eastAsia"/>
              </w:rPr>
              <w:t xml:space="preserve">　：</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gridSpan w:val="2"/>
            <w:tcBorders>
              <w:top w:val="nil"/>
              <w:left w:val="nil"/>
              <w:bottom w:val="single" w:sz="4" w:space="0" w:color="000000"/>
            </w:tcBorders>
            <w:vAlign w:val="center"/>
          </w:tcPr>
          <w:p w:rsidR="00CE6ED0" w:rsidRPr="00A51DEA" w:rsidRDefault="00CE6ED0"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gridSpan w:val="2"/>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0B25A9">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777"/>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3"/>
            <w:tcBorders>
              <w:bottom w:val="single" w:sz="4" w:space="0" w:color="000000"/>
            </w:tcBorders>
            <w:vAlign w:val="center"/>
          </w:tcPr>
          <w:p w:rsidR="00AC3C52" w:rsidRPr="00330417"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rsidR="006D1D60" w:rsidRPr="00AC3C52" w:rsidRDefault="006D1D60" w:rsidP="006D58B0"/>
        </w:tc>
        <w:tc>
          <w:tcPr>
            <w:tcW w:w="6714" w:type="dxa"/>
            <w:gridSpan w:val="28"/>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rsidR="006D1D60" w:rsidRPr="00AC3C52" w:rsidRDefault="006D1D60" w:rsidP="006D58B0"/>
        </w:tc>
        <w:tc>
          <w:tcPr>
            <w:tcW w:w="3055" w:type="dxa"/>
            <w:gridSpan w:val="15"/>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gridSpan w:val="2"/>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6"/>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1"/>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3"/>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5C" w:rsidRDefault="00E0715C" w:rsidP="00C97ED9">
      <w:r>
        <w:separator/>
      </w:r>
    </w:p>
  </w:endnote>
  <w:endnote w:type="continuationSeparator" w:id="0">
    <w:p w:rsidR="00E0715C" w:rsidRDefault="00E0715C"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5C" w:rsidRDefault="00E0715C" w:rsidP="00C97ED9">
      <w:r>
        <w:separator/>
      </w:r>
    </w:p>
  </w:footnote>
  <w:footnote w:type="continuationSeparator" w:id="0">
    <w:p w:rsidR="00E0715C" w:rsidRDefault="00E0715C"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25A9"/>
    <w:rsid w:val="000B4720"/>
    <w:rsid w:val="000C0B46"/>
    <w:rsid w:val="000C1C5B"/>
    <w:rsid w:val="000C32AD"/>
    <w:rsid w:val="000D5E6D"/>
    <w:rsid w:val="000E2716"/>
    <w:rsid w:val="000F23E2"/>
    <w:rsid w:val="000F51A1"/>
    <w:rsid w:val="000F6CB6"/>
    <w:rsid w:val="0010095D"/>
    <w:rsid w:val="0010158B"/>
    <w:rsid w:val="001057B3"/>
    <w:rsid w:val="001113DF"/>
    <w:rsid w:val="00113F37"/>
    <w:rsid w:val="00114394"/>
    <w:rsid w:val="00121722"/>
    <w:rsid w:val="00140915"/>
    <w:rsid w:val="00142F7F"/>
    <w:rsid w:val="00143801"/>
    <w:rsid w:val="0015028F"/>
    <w:rsid w:val="00153CCB"/>
    <w:rsid w:val="00167084"/>
    <w:rsid w:val="00170471"/>
    <w:rsid w:val="001718B1"/>
    <w:rsid w:val="0017349C"/>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0417"/>
    <w:rsid w:val="00332554"/>
    <w:rsid w:val="003402CF"/>
    <w:rsid w:val="00340EBA"/>
    <w:rsid w:val="00341F95"/>
    <w:rsid w:val="0034463F"/>
    <w:rsid w:val="00346F8B"/>
    <w:rsid w:val="00350735"/>
    <w:rsid w:val="003551C6"/>
    <w:rsid w:val="00356525"/>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3892"/>
    <w:rsid w:val="007C44A4"/>
    <w:rsid w:val="007C58C8"/>
    <w:rsid w:val="007D5F95"/>
    <w:rsid w:val="007D709B"/>
    <w:rsid w:val="007D7455"/>
    <w:rsid w:val="007D77E4"/>
    <w:rsid w:val="007E3B90"/>
    <w:rsid w:val="007E7618"/>
    <w:rsid w:val="007F0305"/>
    <w:rsid w:val="007F218C"/>
    <w:rsid w:val="007F735F"/>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F16"/>
    <w:rsid w:val="009506F5"/>
    <w:rsid w:val="00953BA1"/>
    <w:rsid w:val="009551B2"/>
    <w:rsid w:val="00955AA4"/>
    <w:rsid w:val="009560C6"/>
    <w:rsid w:val="009563A3"/>
    <w:rsid w:val="00956A19"/>
    <w:rsid w:val="009574E6"/>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5142"/>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15C"/>
    <w:rsid w:val="00E07815"/>
    <w:rsid w:val="00E10102"/>
    <w:rsid w:val="00E14DA8"/>
    <w:rsid w:val="00E1672B"/>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www.iimc.kyoto-u.ac.jp/ja/services/comp/support/edu/edu_20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23AD-E669-4A39-9552-38C56A6D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4757</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cp:lastModifiedBy>
  <cp:revision>41</cp:revision>
  <cp:lastPrinted>2019-10-02T09:26:00Z</cp:lastPrinted>
  <dcterms:created xsi:type="dcterms:W3CDTF">2015-11-13T00:30:00Z</dcterms:created>
  <dcterms:modified xsi:type="dcterms:W3CDTF">2020-11-10T02:47:00Z</dcterms:modified>
</cp:coreProperties>
</file>